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FB955" w14:textId="77777777" w:rsidR="00BA7D4A" w:rsidRDefault="00BA7D4A" w:rsidP="00945938">
      <w:pPr>
        <w:spacing w:after="0" w:line="276" w:lineRule="auto"/>
        <w:rPr>
          <w:rFonts w:ascii="Times New Roman" w:hAnsi="Times New Roman" w:cs="Times New Roman"/>
          <w:bCs/>
          <w:sz w:val="24"/>
          <w:szCs w:val="24"/>
        </w:rPr>
      </w:pPr>
      <w:bookmarkStart w:id="0" w:name="_Hlk180060811"/>
    </w:p>
    <w:p w14:paraId="5A4C7086" w14:textId="09AD6A32" w:rsidR="00444088" w:rsidRPr="00444088" w:rsidRDefault="00444088" w:rsidP="00945938">
      <w:pPr>
        <w:spacing w:after="0" w:line="276" w:lineRule="auto"/>
        <w:rPr>
          <w:rFonts w:ascii="Times New Roman" w:hAnsi="Times New Roman" w:cs="Times New Roman"/>
          <w:bCs/>
          <w:sz w:val="24"/>
          <w:szCs w:val="24"/>
        </w:rPr>
      </w:pPr>
      <w:r w:rsidRPr="00444088">
        <w:rPr>
          <w:rFonts w:ascii="Times New Roman" w:hAnsi="Times New Roman" w:cs="Times New Roman"/>
          <w:bCs/>
          <w:sz w:val="24"/>
          <w:szCs w:val="24"/>
        </w:rPr>
        <w:t>British Columbia (Attorney General) v. Mount Currie Indian Band, (1991) 8 B.C.A.C. 126 (CA)</w:t>
      </w:r>
    </w:p>
    <w:bookmarkEnd w:id="0"/>
    <w:p w14:paraId="1B4735EB" w14:textId="77777777" w:rsidR="00444088" w:rsidRPr="00945938" w:rsidRDefault="00444088" w:rsidP="00945938">
      <w:pPr>
        <w:spacing w:after="0" w:line="276" w:lineRule="auto"/>
        <w:rPr>
          <w:rFonts w:ascii="Times New Roman" w:hAnsi="Times New Roman" w:cs="Times New Roman"/>
          <w:b/>
          <w:bCs/>
          <w:sz w:val="24"/>
          <w:szCs w:val="24"/>
        </w:rPr>
      </w:pPr>
    </w:p>
    <w:p w14:paraId="04F0D53C" w14:textId="38CC9399"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Judge:</w:t>
      </w:r>
      <w:r w:rsidRPr="00444088">
        <w:rPr>
          <w:rFonts w:ascii="Times New Roman" w:hAnsi="Times New Roman" w:cs="Times New Roman"/>
          <w:sz w:val="24"/>
          <w:szCs w:val="24"/>
        </w:rPr>
        <w:t> Legg, J.A.</w:t>
      </w:r>
    </w:p>
    <w:p w14:paraId="2631224F"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Court:</w:t>
      </w:r>
      <w:r w:rsidRPr="00444088">
        <w:rPr>
          <w:rFonts w:ascii="Times New Roman" w:hAnsi="Times New Roman" w:cs="Times New Roman"/>
          <w:sz w:val="24"/>
          <w:szCs w:val="24"/>
        </w:rPr>
        <w:t> Court of Appeal (British Columbia)</w:t>
      </w:r>
    </w:p>
    <w:p w14:paraId="45FDFD6D"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Case Date:</w:t>
      </w:r>
      <w:r w:rsidRPr="00444088">
        <w:rPr>
          <w:rFonts w:ascii="Times New Roman" w:hAnsi="Times New Roman" w:cs="Times New Roman"/>
          <w:sz w:val="24"/>
          <w:szCs w:val="24"/>
        </w:rPr>
        <w:t> November 01, 1991</w:t>
      </w:r>
    </w:p>
    <w:p w14:paraId="3BF01870"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Jurisdiction:</w:t>
      </w:r>
      <w:r w:rsidRPr="00444088">
        <w:rPr>
          <w:rFonts w:ascii="Times New Roman" w:hAnsi="Times New Roman" w:cs="Times New Roman"/>
          <w:sz w:val="24"/>
          <w:szCs w:val="24"/>
        </w:rPr>
        <w:t> British Columbia</w:t>
      </w:r>
    </w:p>
    <w:p w14:paraId="04E6525D"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Citations:</w:t>
      </w:r>
      <w:r w:rsidRPr="00444088">
        <w:rPr>
          <w:rFonts w:ascii="Times New Roman" w:hAnsi="Times New Roman" w:cs="Times New Roman"/>
          <w:sz w:val="24"/>
          <w:szCs w:val="24"/>
        </w:rPr>
        <w:t> (1991), 8 B.C.A.C. 126 (CA)</w:t>
      </w:r>
    </w:p>
    <w:p w14:paraId="0C534B22"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Legal issue</w:t>
      </w:r>
      <w:r w:rsidRPr="00444088">
        <w:rPr>
          <w:rFonts w:ascii="Times New Roman" w:hAnsi="Times New Roman" w:cs="Times New Roman"/>
          <w:sz w:val="24"/>
          <w:szCs w:val="24"/>
        </w:rPr>
        <w:t> Can a notice of motion alleging criminal contempt be struck out for being unrelated to the appeal?</w:t>
      </w:r>
    </w:p>
    <w:p w14:paraId="7276085A"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Headnote</w:t>
      </w:r>
    </w:p>
    <w:p w14:paraId="352B5CF5"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**CIVIL PROCEDURE. APPEALS. The case concerns an application by the Attorney General of British Columbia to strike out allegations of criminal contempt contained in notices of motion filed by the appellants, with the Court of Appeal determining that such allegations were not necessary or incidental to the appeals before the </w:t>
      </w:r>
      <w:proofErr w:type="gramStart"/>
      <w:r w:rsidRPr="00444088">
        <w:rPr>
          <w:rFonts w:ascii="Times New Roman" w:hAnsi="Times New Roman" w:cs="Times New Roman"/>
          <w:sz w:val="24"/>
          <w:szCs w:val="24"/>
        </w:rPr>
        <w:t>court.*</w:t>
      </w:r>
      <w:proofErr w:type="gramEnd"/>
      <w:r w:rsidRPr="00444088">
        <w:rPr>
          <w:rFonts w:ascii="Times New Roman" w:hAnsi="Times New Roman" w:cs="Times New Roman"/>
          <w:sz w:val="24"/>
          <w:szCs w:val="24"/>
        </w:rPr>
        <w:t>*</w:t>
      </w:r>
    </w:p>
    <w:p w14:paraId="5B99EB02"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**CIVIL PROCEDURE. ABUSE OF PROCESS. The British Columbia Court of Appeal found that the allegations made in the impugned notices of motion were an abuse of process, intended to intimidate, and did not constitute proper appeals, thereby leading to their </w:t>
      </w:r>
      <w:proofErr w:type="gramStart"/>
      <w:r w:rsidRPr="00444088">
        <w:rPr>
          <w:rFonts w:ascii="Times New Roman" w:hAnsi="Times New Roman" w:cs="Times New Roman"/>
          <w:sz w:val="24"/>
          <w:szCs w:val="24"/>
        </w:rPr>
        <w:t>dismissal.*</w:t>
      </w:r>
      <w:proofErr w:type="gramEnd"/>
      <w:r w:rsidRPr="00444088">
        <w:rPr>
          <w:rFonts w:ascii="Times New Roman" w:hAnsi="Times New Roman" w:cs="Times New Roman"/>
          <w:sz w:val="24"/>
          <w:szCs w:val="24"/>
        </w:rPr>
        <w:t>*</w:t>
      </w:r>
    </w:p>
    <w:p w14:paraId="3AD99AEC"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Key Phrases</w:t>
      </w:r>
      <w:r w:rsidRPr="00444088">
        <w:rPr>
          <w:rFonts w:ascii="Times New Roman" w:hAnsi="Times New Roman" w:cs="Times New Roman"/>
          <w:sz w:val="24"/>
          <w:szCs w:val="24"/>
        </w:rPr>
        <w:t> Criminal contempt of court. Impugned allegations. Abuse of process. Court of Appeal Act. Public nuisance injunction.</w:t>
      </w:r>
    </w:p>
    <w:p w14:paraId="4919187D"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Case cited by: </w:t>
      </w:r>
      <w:hyperlink r:id="rId4" w:history="1">
        <w:r w:rsidRPr="00444088">
          <w:rPr>
            <w:rStyle w:val="Hyperlink"/>
            <w:rFonts w:ascii="Times New Roman" w:hAnsi="Times New Roman" w:cs="Times New Roman"/>
            <w:sz w:val="24"/>
            <w:szCs w:val="24"/>
          </w:rPr>
          <w:t>3 cases</w:t>
        </w:r>
      </w:hyperlink>
    </w:p>
    <w:p w14:paraId="62CD5B8F"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B.C. (A.G.) v. Mount Currie Band (1991), 8 B.C.A.C. 126 (CA</w:t>
      </w:r>
      <w:proofErr w:type="gramStart"/>
      <w:r w:rsidRPr="00444088">
        <w:rPr>
          <w:rFonts w:ascii="Times New Roman" w:hAnsi="Times New Roman" w:cs="Times New Roman"/>
          <w:b/>
          <w:bCs/>
          <w:sz w:val="24"/>
          <w:szCs w:val="24"/>
        </w:rPr>
        <w:t>);</w:t>
      </w:r>
      <w:proofErr w:type="gramEnd"/>
    </w:p>
    <w:p w14:paraId="7B3E6938"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17 W.A.C. 126</w:t>
      </w:r>
    </w:p>
    <w:p w14:paraId="2457753E"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MLB headnote and full text</w:t>
      </w:r>
    </w:p>
    <w:p w14:paraId="4A399494"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Attorney General of British Columbia and Her Majesty the Queen in right of the Province of British Columbia (plaintiffs/respondents) v. Chief Katherine Wallace as representative of the Band Council and members of the Mount Currie Indian Band, Mount Currie Indian Band, and Terri John, Ralph Dan, Ron Dan, Alvin Nelson, Albert Pascal, and John Doe as individuals and representatives of persons blockading a public highway known as "Lillooet Lake Road" (defendants/appellants) and Attorney General of Canada (respondent)</w:t>
      </w:r>
    </w:p>
    <w:p w14:paraId="1E05CF6E"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(CA014107)</w:t>
      </w:r>
    </w:p>
    <w:p w14:paraId="5FF36462" w14:textId="77777777" w:rsidR="00444088" w:rsidRPr="00444088" w:rsidRDefault="00444088" w:rsidP="00945938">
      <w:pPr>
        <w:spacing w:after="0" w:line="276" w:lineRule="auto"/>
        <w:rPr>
          <w:rFonts w:ascii="Times New Roman" w:hAnsi="Times New Roman" w:cs="Times New Roman"/>
          <w:sz w:val="24"/>
          <w:szCs w:val="24"/>
        </w:rPr>
      </w:pPr>
      <w:bookmarkStart w:id="1" w:name="_Hlk180060896"/>
      <w:r w:rsidRPr="00444088">
        <w:rPr>
          <w:rFonts w:ascii="Times New Roman" w:hAnsi="Times New Roman" w:cs="Times New Roman"/>
          <w:sz w:val="24"/>
          <w:szCs w:val="24"/>
        </w:rPr>
        <w:t xml:space="preserve">International Forest Products Ltd. and Howe Sound Timber Co. Ltd. (plaintiffs/respondents) v. Harold Pascal and others </w:t>
      </w:r>
      <w:bookmarkEnd w:id="1"/>
      <w:r w:rsidRPr="00444088">
        <w:rPr>
          <w:rFonts w:ascii="Times New Roman" w:hAnsi="Times New Roman" w:cs="Times New Roman"/>
          <w:sz w:val="24"/>
          <w:szCs w:val="24"/>
        </w:rPr>
        <w:t>(defendants/appellants) and Attorney General of British Columbia (respondent)</w:t>
      </w:r>
    </w:p>
    <w:p w14:paraId="175EF100"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(CA013520)</w:t>
      </w:r>
    </w:p>
    <w:p w14:paraId="305047F8"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Indexed As: British Columbia (Attorney General) v. Mount Currie Indian Band</w:t>
      </w:r>
    </w:p>
    <w:p w14:paraId="12E5CD10"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British Columbia Court of Appeal</w:t>
      </w:r>
    </w:p>
    <w:p w14:paraId="14F89BBB"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Legg, J.A.</w:t>
      </w:r>
    </w:p>
    <w:p w14:paraId="207B2243"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November 1, 1991.</w:t>
      </w:r>
    </w:p>
    <w:p w14:paraId="2EDE2933"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Summary:</w:t>
      </w:r>
    </w:p>
    <w:p w14:paraId="1BDF6099"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lastRenderedPageBreak/>
        <w:t xml:space="preserve">An appellant filed a notice of motion that contained an allegation of criminal contempt of court against the Province of British Columbia. The </w:t>
      </w:r>
      <w:proofErr w:type="gramStart"/>
      <w:r w:rsidRPr="00444088">
        <w:rPr>
          <w:rFonts w:ascii="Times New Roman" w:hAnsi="Times New Roman" w:cs="Times New Roman"/>
          <w:sz w:val="24"/>
          <w:szCs w:val="24"/>
        </w:rPr>
        <w:t>Province</w:t>
      </w:r>
      <w:proofErr w:type="gramEnd"/>
      <w:r w:rsidRPr="00444088">
        <w:rPr>
          <w:rFonts w:ascii="Times New Roman" w:hAnsi="Times New Roman" w:cs="Times New Roman"/>
          <w:sz w:val="24"/>
          <w:szCs w:val="24"/>
        </w:rPr>
        <w:t xml:space="preserve"> moved to strike out the allegation.</w:t>
      </w:r>
    </w:p>
    <w:p w14:paraId="6389839A"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The British Columbia Court of Appeal struck out the impugned allegation.</w:t>
      </w:r>
    </w:p>
    <w:p w14:paraId="2D8AA9BA"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Practice - Topic 8910</w:t>
      </w:r>
    </w:p>
    <w:p w14:paraId="3B9E04EF"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Appeals - Procedure - Notice of motion - Striking out - An appellant filed a notice of motion that contained an allegation of criminal contempt of court against the Province of British Columbia - The Province moved to strike out the allegation - The British Columbia Court of Appeal allowed the application and struck out the impugned allegation because it was not necessary or incidental to the hearing of the appeal before the court (see paragraphs 20 and 21).</w:t>
      </w:r>
    </w:p>
    <w:p w14:paraId="38301FCA"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Cases Noticed:</w:t>
      </w:r>
    </w:p>
    <w:p w14:paraId="29404F7E"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British Columbia Ferry Corp. v. British Columbia Ferry and Marine Workers' Union (1979), 12 B.C.L.R. 20, </w:t>
      </w:r>
      <w:proofErr w:type="spellStart"/>
      <w:r w:rsidRPr="00444088">
        <w:rPr>
          <w:rFonts w:ascii="Times New Roman" w:hAnsi="Times New Roman" w:cs="Times New Roman"/>
          <w:sz w:val="24"/>
          <w:szCs w:val="24"/>
        </w:rPr>
        <w:t>refd</w:t>
      </w:r>
      <w:proofErr w:type="spellEnd"/>
      <w:r w:rsidRPr="00444088">
        <w:rPr>
          <w:rFonts w:ascii="Times New Roman" w:hAnsi="Times New Roman" w:cs="Times New Roman"/>
          <w:sz w:val="24"/>
          <w:szCs w:val="24"/>
        </w:rPr>
        <w:t xml:space="preserve"> to. [para. 20].</w:t>
      </w:r>
    </w:p>
    <w:p w14:paraId="233656B6"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R. v. Lyons, [1982] 6 W.W.R. 284, </w:t>
      </w:r>
      <w:proofErr w:type="spellStart"/>
      <w:r w:rsidRPr="00444088">
        <w:rPr>
          <w:rFonts w:ascii="Times New Roman" w:hAnsi="Times New Roman" w:cs="Times New Roman"/>
          <w:sz w:val="24"/>
          <w:szCs w:val="24"/>
        </w:rPr>
        <w:t>refd</w:t>
      </w:r>
      <w:proofErr w:type="spellEnd"/>
      <w:r w:rsidRPr="00444088">
        <w:rPr>
          <w:rFonts w:ascii="Times New Roman" w:hAnsi="Times New Roman" w:cs="Times New Roman"/>
          <w:sz w:val="24"/>
          <w:szCs w:val="24"/>
        </w:rPr>
        <w:t xml:space="preserve"> to. [para. 20].</w:t>
      </w:r>
    </w:p>
    <w:p w14:paraId="76A957F5"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b/>
          <w:bCs/>
          <w:sz w:val="24"/>
          <w:szCs w:val="24"/>
        </w:rPr>
        <w:t>Counsel:</w:t>
      </w:r>
    </w:p>
    <w:p w14:paraId="59A05C05"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No one appearing for the </w:t>
      </w:r>
      <w:proofErr w:type="gramStart"/>
      <w:r w:rsidRPr="00444088">
        <w:rPr>
          <w:rFonts w:ascii="Times New Roman" w:hAnsi="Times New Roman" w:cs="Times New Roman"/>
          <w:sz w:val="24"/>
          <w:szCs w:val="24"/>
        </w:rPr>
        <w:t>appellants;</w:t>
      </w:r>
      <w:proofErr w:type="gramEnd"/>
    </w:p>
    <w:p w14:paraId="77F71C21"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W. </w:t>
      </w:r>
      <w:proofErr w:type="spellStart"/>
      <w:r w:rsidRPr="00444088">
        <w:rPr>
          <w:rFonts w:ascii="Times New Roman" w:hAnsi="Times New Roman" w:cs="Times New Roman"/>
          <w:sz w:val="24"/>
          <w:szCs w:val="24"/>
        </w:rPr>
        <w:t>Holburn</w:t>
      </w:r>
      <w:proofErr w:type="spellEnd"/>
      <w:r w:rsidRPr="00444088">
        <w:rPr>
          <w:rFonts w:ascii="Times New Roman" w:hAnsi="Times New Roman" w:cs="Times New Roman"/>
          <w:sz w:val="24"/>
          <w:szCs w:val="24"/>
        </w:rPr>
        <w:t xml:space="preserve"> and R.G. Payne, for the Attorney General of British Columbia.</w:t>
      </w:r>
    </w:p>
    <w:p w14:paraId="5DFF28E7"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This application was heard by Legg, J.A., of the British Columbia Court of Appeal. The decision of Legg, J.A., was delivered on November 1, 1991.</w:t>
      </w:r>
    </w:p>
    <w:p w14:paraId="20D11D22"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 Legg, J.A.: Two notices of motion have been brought by the Attorney General of British Columbia, ex officio, for an order striking out or setting aside portions of two notices of motion filed by the appellants in each of the above appeals.</w:t>
      </w:r>
    </w:p>
    <w:p w14:paraId="11575475"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[2] One of the impugned notices of motion was filed by the appellants on July 2, 1991 in International Forest Products Limited v. Harold Pascal and </w:t>
      </w:r>
      <w:proofErr w:type="gramStart"/>
      <w:r w:rsidRPr="00444088">
        <w:rPr>
          <w:rFonts w:ascii="Times New Roman" w:hAnsi="Times New Roman" w:cs="Times New Roman"/>
          <w:sz w:val="24"/>
          <w:szCs w:val="24"/>
        </w:rPr>
        <w:t>others ,</w:t>
      </w:r>
      <w:proofErr w:type="gramEnd"/>
      <w:r w:rsidRPr="00444088">
        <w:rPr>
          <w:rFonts w:ascii="Times New Roman" w:hAnsi="Times New Roman" w:cs="Times New Roman"/>
          <w:sz w:val="24"/>
          <w:szCs w:val="24"/>
        </w:rPr>
        <w:t xml:space="preserve"> CA013520.</w:t>
      </w:r>
    </w:p>
    <w:p w14:paraId="5E4FBB55"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[3] The second impugned notice of motion was also filed on July 2, 1991, on behalf of the defendant (appellants), Chief Katherine Wallace and others, in Attorney General of British Columbia et al. v. Chief Katherine Wallace </w:t>
      </w:r>
      <w:proofErr w:type="gramStart"/>
      <w:r w:rsidRPr="00444088">
        <w:rPr>
          <w:rFonts w:ascii="Times New Roman" w:hAnsi="Times New Roman" w:cs="Times New Roman"/>
          <w:sz w:val="24"/>
          <w:szCs w:val="24"/>
        </w:rPr>
        <w:t>et al. ,</w:t>
      </w:r>
      <w:proofErr w:type="gramEnd"/>
      <w:r w:rsidRPr="00444088">
        <w:rPr>
          <w:rFonts w:ascii="Times New Roman" w:hAnsi="Times New Roman" w:cs="Times New Roman"/>
          <w:sz w:val="24"/>
          <w:szCs w:val="24"/>
        </w:rPr>
        <w:t xml:space="preserve"> CA014107.</w:t>
      </w:r>
    </w:p>
    <w:p w14:paraId="33D299E0"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[4] The portions of the two impugned notices of motion which are sought to be struck out are essentially the same in wording. It will be sufficient if I quote only from the notice of motion dated July 2, 1991, filed in appeal number CA013520, in which International Forest Products Limited and Howe Sound Timber Company are plaintiffs (respondents). The passage reads as follows:</w:t>
      </w:r>
    </w:p>
    <w:p w14:paraId="3165F2BA"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"TAKE NOTICE that an application will be made by the defendant (appellant) Harold Pascal on behalf of himself and on behalf of the other appellants herein and in Attorney General of British Columbia v. Wallace being Court of Appeal file CA014107 to Mr. Justice Lambert in chambers at the court house, 800 Smithe Street, Vancouver, British Columbia, on Tuesday, the 2nd day of July, 1991, or so soon thereafter as counsel or the applicant may be heard for an order that the parties to whom notice is directed are in criminal contempt of court of participating in a racist conspiracy to suborn the courts into forsaking the rule of law by abusing the court process in order unconstitutionally and fraudulently to extort unceded territory: the non-native legal system is usurping jurisdiction so non-native society can convert the unceded territory, and in furtherance of this fraud the pretence is that the preliminary jurisdictional issue can not be resolved on the pure law basis of the courts' constitutive instruments, the constitutional precedents, the constitutional legislation and the natural law of the constitution of Canada."</w:t>
      </w:r>
    </w:p>
    <w:p w14:paraId="2F1DA6EF"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[5] I shall deal briefly with the facts in each of the two appeals. They are as follows.</w:t>
      </w:r>
    </w:p>
    <w:p w14:paraId="1F99DEBE"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[6] The appeal in Attorney General of British Columbia v. Chief Katherine Wallace and </w:t>
      </w:r>
      <w:proofErr w:type="gramStart"/>
      <w:r w:rsidRPr="00444088">
        <w:rPr>
          <w:rFonts w:ascii="Times New Roman" w:hAnsi="Times New Roman" w:cs="Times New Roman"/>
          <w:sz w:val="24"/>
          <w:szCs w:val="24"/>
        </w:rPr>
        <w:t>others ,</w:t>
      </w:r>
      <w:proofErr w:type="gramEnd"/>
      <w:r w:rsidRPr="00444088">
        <w:rPr>
          <w:rFonts w:ascii="Times New Roman" w:hAnsi="Times New Roman" w:cs="Times New Roman"/>
          <w:sz w:val="24"/>
          <w:szCs w:val="24"/>
        </w:rPr>
        <w:t xml:space="preserve"> arises from an action commenced by writ of summons filed October 3, 1990. By a statement of defence filed on December 20, 1990, the defendants (appellants) filed a defence in answer to that writ. The action brought by the Attorney General was for a declaration that the defendants named in that action, and others, had committed a public nuisance. The Attorney General sought an injunction restraining the defendants from obstructing a road which I am informed was the Duffy Lake Road.</w:t>
      </w:r>
    </w:p>
    <w:p w14:paraId="6D02D02D"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[7] On June 13, 1991, a notice of appeal was filed by the defendant (appellant) Pascal and others, appealing the convictions and sentences for contempt pronounced in that action by Mr. Justice MacDonald in April of 1991 and entered on June 11, 1991. I am informed by counsel for the Attorney General this morning, that no further steps have been taken in that appeal.</w:t>
      </w:r>
    </w:p>
    <w:p w14:paraId="1FF92E2F"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[8] On July 18, 1991, the defendants (appellant) Pascal and others, filed a </w:t>
      </w:r>
      <w:proofErr w:type="gramStart"/>
      <w:r w:rsidRPr="00444088">
        <w:rPr>
          <w:rFonts w:ascii="Times New Roman" w:hAnsi="Times New Roman" w:cs="Times New Roman"/>
          <w:sz w:val="24"/>
          <w:szCs w:val="24"/>
        </w:rPr>
        <w:t>third party</w:t>
      </w:r>
      <w:proofErr w:type="gramEnd"/>
      <w:r w:rsidRPr="00444088">
        <w:rPr>
          <w:rFonts w:ascii="Times New Roman" w:hAnsi="Times New Roman" w:cs="Times New Roman"/>
          <w:sz w:val="24"/>
          <w:szCs w:val="24"/>
        </w:rPr>
        <w:t xml:space="preserve"> notice in the Supreme Court of British Columbia. The </w:t>
      </w:r>
      <w:proofErr w:type="gramStart"/>
      <w:r w:rsidRPr="00444088">
        <w:rPr>
          <w:rFonts w:ascii="Times New Roman" w:hAnsi="Times New Roman" w:cs="Times New Roman"/>
          <w:sz w:val="24"/>
          <w:szCs w:val="24"/>
        </w:rPr>
        <w:t>third party</w:t>
      </w:r>
      <w:proofErr w:type="gramEnd"/>
      <w:r w:rsidRPr="00444088">
        <w:rPr>
          <w:rFonts w:ascii="Times New Roman" w:hAnsi="Times New Roman" w:cs="Times New Roman"/>
          <w:sz w:val="24"/>
          <w:szCs w:val="24"/>
        </w:rPr>
        <w:t xml:space="preserve"> notice purported to raise against certain </w:t>
      </w:r>
      <w:bookmarkStart w:id="2" w:name="_Hlk180070302"/>
      <w:r w:rsidRPr="00444088">
        <w:rPr>
          <w:rFonts w:ascii="Times New Roman" w:hAnsi="Times New Roman" w:cs="Times New Roman"/>
          <w:sz w:val="24"/>
          <w:szCs w:val="24"/>
        </w:rPr>
        <w:t>Justices of Appeal, Supreme Court Justices, Provincial Court Judges, legal counsel, a Minister of the Crown, and R.C.M.P. officers, an allegation of "contempt of court for participating in a racist conspiracy to suborn the courts into forsaking the rule of law by abusing the court process in order unconstitutionally and fraudulently to extort unceded territory".</w:t>
      </w:r>
      <w:bookmarkEnd w:id="2"/>
    </w:p>
    <w:p w14:paraId="356D80D7"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[9] On July 2, 1991, the defendants Pascal and others, filed the notice of motion in the Court of Appeal, part of which is impugned on this application by the Attorney General.</w:t>
      </w:r>
    </w:p>
    <w:p w14:paraId="44F481AF"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[10] On October 18, 1991, Mr. Justice Callaghan sitting in Supreme Court Chambers ordered that the </w:t>
      </w:r>
      <w:proofErr w:type="gramStart"/>
      <w:r w:rsidRPr="00444088">
        <w:rPr>
          <w:rFonts w:ascii="Times New Roman" w:hAnsi="Times New Roman" w:cs="Times New Roman"/>
          <w:sz w:val="24"/>
          <w:szCs w:val="24"/>
        </w:rPr>
        <w:t>third party</w:t>
      </w:r>
      <w:proofErr w:type="gramEnd"/>
      <w:r w:rsidRPr="00444088">
        <w:rPr>
          <w:rFonts w:ascii="Times New Roman" w:hAnsi="Times New Roman" w:cs="Times New Roman"/>
          <w:sz w:val="24"/>
          <w:szCs w:val="24"/>
        </w:rPr>
        <w:t xml:space="preserve"> notice be set aside on a motion brought ex officio by the Attorney General. He did so on grounds that the motion was an abuse of process of the court and an attempt to intimidate those involved in the administration of justice and those connected with the matters which have been brought by the appellants before the courts.</w:t>
      </w:r>
    </w:p>
    <w:p w14:paraId="731FFEA6"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[11] The other appeal brought by International Forest Products Limited v. Harold Pascal and </w:t>
      </w:r>
      <w:proofErr w:type="gramStart"/>
      <w:r w:rsidRPr="00444088">
        <w:rPr>
          <w:rFonts w:ascii="Times New Roman" w:hAnsi="Times New Roman" w:cs="Times New Roman"/>
          <w:sz w:val="24"/>
          <w:szCs w:val="24"/>
        </w:rPr>
        <w:t>others ,</w:t>
      </w:r>
      <w:proofErr w:type="gramEnd"/>
      <w:r w:rsidRPr="00444088">
        <w:rPr>
          <w:rFonts w:ascii="Times New Roman" w:hAnsi="Times New Roman" w:cs="Times New Roman"/>
          <w:sz w:val="24"/>
          <w:szCs w:val="24"/>
        </w:rPr>
        <w:t xml:space="preserve"> arises from an </w:t>
      </w:r>
      <w:r w:rsidRPr="00444088">
        <w:rPr>
          <w:rFonts w:ascii="Times New Roman" w:hAnsi="Times New Roman" w:cs="Times New Roman"/>
          <w:sz w:val="24"/>
          <w:szCs w:val="24"/>
          <w:highlight w:val="yellow"/>
        </w:rPr>
        <w:t>action commenced by International Forest Products Limited by writ on January 27, 1991. In that action the two forest companies who are plaintiffs in the action sought an interim injunction. By order dated February 1, 1991, Mr. Justice Wetmore granted the plaintiffs injunctive relief. The relief there was concerned with the construction of the main haul road in the Ure Creek area leading to Lillooet Lake.</w:t>
      </w:r>
    </w:p>
    <w:p w14:paraId="2D790B9C"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[12] On February 26, 1991, Mr. Justice Lambert of this court granted the defendants Pascal and others, leave to appeal the said order of Mr. Justice Wetmore. On April 10, 1991, the defendants sought an order staying the effect of the order made by Mr. Justice Wetmore. This application was dismissed. I am informed by counsel for the Attorney General this morning that nothing further has been done to proceed with that appeal. In view of the absence of any prosecution of that appeal a notice of motion dated June 25, 1991, was made by the plaintiff (respondent) International Forest Products Limited, and the Attorney General as respondent, seeking to have the appeal dismissed as abandoned pursuant to s. 10(2)(e) of the Court of Appeal </w:t>
      </w:r>
      <w:proofErr w:type="gramStart"/>
      <w:r w:rsidRPr="00444088">
        <w:rPr>
          <w:rFonts w:ascii="Times New Roman" w:hAnsi="Times New Roman" w:cs="Times New Roman"/>
          <w:sz w:val="24"/>
          <w:szCs w:val="24"/>
        </w:rPr>
        <w:t>Act ,</w:t>
      </w:r>
      <w:proofErr w:type="gramEnd"/>
      <w:r w:rsidRPr="00444088">
        <w:rPr>
          <w:rFonts w:ascii="Times New Roman" w:hAnsi="Times New Roman" w:cs="Times New Roman"/>
          <w:sz w:val="24"/>
          <w:szCs w:val="24"/>
        </w:rPr>
        <w:t xml:space="preserve"> R.S.B.C. 1979, c. 7.</w:t>
      </w:r>
    </w:p>
    <w:p w14:paraId="17BF2954"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[13] The defendant (appellant) Pascal and others filed the impugned notice of motion on July 2, 1991. It is the part of this notice of motion which I have quoted earlier which the Attorney General on this application seeks to have struck out. Again, the allegations are directed to the same justices, legal counsel and R.C.M.P. officers who are named in the impugned motion in the Wallace action. No appeal books and no factums have been filed by the appellant Pascal and others with respect to that appeal.</w:t>
      </w:r>
    </w:p>
    <w:p w14:paraId="1BA14433"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[14] In my opinion, the Court of Appeal has no jurisdiction to entertain the applications for relief sought in the impugned portions of the two notices of motion dated July 2, 1991, which I have referred to, insofar as they seek a remedy against the persons named alleging criminal contempt of court for participating in a racist conspiracy to suborn the court into forsaking the rule of law by abusing the court process.</w:t>
      </w:r>
    </w:p>
    <w:p w14:paraId="14C21359"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[15] The jurisdiction of the Court of Appeal is defined by the Court of Appeal </w:t>
      </w:r>
      <w:proofErr w:type="gramStart"/>
      <w:r w:rsidRPr="00444088">
        <w:rPr>
          <w:rFonts w:ascii="Times New Roman" w:hAnsi="Times New Roman" w:cs="Times New Roman"/>
          <w:sz w:val="24"/>
          <w:szCs w:val="24"/>
        </w:rPr>
        <w:t>Act .</w:t>
      </w:r>
      <w:proofErr w:type="gramEnd"/>
      <w:r w:rsidRPr="00444088">
        <w:rPr>
          <w:rFonts w:ascii="Times New Roman" w:hAnsi="Times New Roman" w:cs="Times New Roman"/>
          <w:sz w:val="24"/>
          <w:szCs w:val="24"/>
        </w:rPr>
        <w:t> In my opinion, the relief sought in the impugned motions are not appeals nor are they ancillary to any appeals before this court.</w:t>
      </w:r>
    </w:p>
    <w:p w14:paraId="746D075C"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[16] There are two appeals before this court. One is an appeal from a finding of contempt against the appellants and the other is an appeal from an injunction granted against the appellants. The persons to whom the impugned notices of motion are directed are not parties to the appeals before this court. The common thread which connects such persons is that they have been involved in one way or another with the motions brought before this court by the appellants.</w:t>
      </w:r>
    </w:p>
    <w:p w14:paraId="15C03FF2"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[17] The persons to whom these motions are directed are justices involved in hearings in the Supreme Court on such matters, or are justices of this court involved in the hearing of such matters, or, they are persons who have attempted to enforce orders pronounced by trial courts in such matters, namely the police officers who have been named, or they are counsel for parties who have been in opposition to either Chief Katherine Wallace and others or Harold Pascal and others.</w:t>
      </w:r>
    </w:p>
    <w:p w14:paraId="0B61F392"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[18] Three of the parties named in the impugned motions are members of the Law Society of British Columbia. One speculates why they are named. I am informed by counsel for the Attorney General that the Law Society has investigated the right of Mr. Clark, counsel for Pascal and others, and Chief Wallace and others, to proceed with those appeals. That may be the answer.</w:t>
      </w:r>
    </w:p>
    <w:p w14:paraId="47C9D48C"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[19] I accept the submission of counsel for the Attorney General that the bringing of these motions containing the impugned passages is an attempt to intimidate all such persons and is an abuse of process.</w:t>
      </w:r>
    </w:p>
    <w:p w14:paraId="24EBD4A7"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[20] In order for this court to have jurisdiction over the alleged criminal contempt of court of participating in a racist conspiracy, the appellants must show that the allegations of such conduct are matters necessary or incidental to the hearing and determination of an appeal that is properly constituted. I refer to British Columbia Ferry Corporation v. British Columbia Ferry and Marine Workers' Union (1979), 12 B.C.L.R. 20 and particularly the passage at p. 28, to the effect that this court is a statutory court and has inherent jurisdiction or ancillary jurisdiction only with respect to matters necessary or incidental to a case properly brought before the Court of Appeal. I also refer to the decision in R. v. </w:t>
      </w:r>
      <w:proofErr w:type="gramStart"/>
      <w:r w:rsidRPr="00444088">
        <w:rPr>
          <w:rFonts w:ascii="Times New Roman" w:hAnsi="Times New Roman" w:cs="Times New Roman"/>
          <w:sz w:val="24"/>
          <w:szCs w:val="24"/>
        </w:rPr>
        <w:t>Lyons ,</w:t>
      </w:r>
      <w:proofErr w:type="gramEnd"/>
      <w:r w:rsidRPr="00444088">
        <w:rPr>
          <w:rFonts w:ascii="Times New Roman" w:hAnsi="Times New Roman" w:cs="Times New Roman"/>
          <w:sz w:val="24"/>
          <w:szCs w:val="24"/>
        </w:rPr>
        <w:t xml:space="preserve"> [1982] 6 W.W.R. 284, and particularly the passage in that case at p. 286.</w:t>
      </w:r>
    </w:p>
    <w:p w14:paraId="0649E3B0"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[21] In my opinion, the passages in the impugned motions which I have cited do not constitute proper appeals to this court, nor in my opinion do the impugned passages contain allegations appropriate for leave to appeal to this court. It cannot be said that they are necessary or incidental to the hearing of the appeals presently before this court. At best, the passages in these notices of motion are an attempt to bring directly in the Court of Appeal an action which, if they could be properly advanced in any court, which I question, would have to be advanced in the Supreme Court of British Columbia.</w:t>
      </w:r>
    </w:p>
    <w:p w14:paraId="5BB08252"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 xml:space="preserve">[22] In his chambers brief, counsel for the Attorney General has relied upon submissions that the impugned passages are vexatious within the meaning of rule 19(24)(b) of the Supreme Court </w:t>
      </w:r>
      <w:proofErr w:type="gramStart"/>
      <w:r w:rsidRPr="00444088">
        <w:rPr>
          <w:rFonts w:ascii="Times New Roman" w:hAnsi="Times New Roman" w:cs="Times New Roman"/>
          <w:sz w:val="24"/>
          <w:szCs w:val="24"/>
        </w:rPr>
        <w:t>Rules ,</w:t>
      </w:r>
      <w:proofErr w:type="gramEnd"/>
      <w:r w:rsidRPr="00444088">
        <w:rPr>
          <w:rFonts w:ascii="Times New Roman" w:hAnsi="Times New Roman" w:cs="Times New Roman"/>
          <w:sz w:val="24"/>
          <w:szCs w:val="24"/>
        </w:rPr>
        <w:t xml:space="preserve"> and are embarrassing within the meaning of rule 19(24)(c) of the Supreme Court Rules . Without having heard from counsel on those submissions I am prepared to accept those further submissions. These passages in the motions are an abuse of process and embarrassing and vexatious in the legal sense in which those words are used in rule 19(24).</w:t>
      </w:r>
    </w:p>
    <w:p w14:paraId="1D846426"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[23] For the foregoing reasons I accede to the motions brought by the Attorney General and direct that the impugned passages in the two notices of motion filed on July 2, 1991, by the defendants (appellants) in appeal number CA014107 and by the defendants (appellants) in appeal number CA013520 be struck out.</w:t>
      </w:r>
    </w:p>
    <w:p w14:paraId="7B02CFE8"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Application granted.</w:t>
      </w:r>
    </w:p>
    <w:p w14:paraId="35EEE9C6" w14:textId="77777777" w:rsidR="00444088" w:rsidRPr="00444088" w:rsidRDefault="00444088" w:rsidP="00945938">
      <w:pPr>
        <w:spacing w:after="0" w:line="276" w:lineRule="auto"/>
        <w:rPr>
          <w:rFonts w:ascii="Times New Roman" w:hAnsi="Times New Roman" w:cs="Times New Roman"/>
          <w:sz w:val="24"/>
          <w:szCs w:val="24"/>
        </w:rPr>
      </w:pPr>
      <w:r w:rsidRPr="00444088">
        <w:rPr>
          <w:rFonts w:ascii="Times New Roman" w:hAnsi="Times New Roman" w:cs="Times New Roman"/>
          <w:sz w:val="24"/>
          <w:szCs w:val="24"/>
        </w:rPr>
        <w:t>Editor: Eric B. Appleby/</w:t>
      </w:r>
      <w:proofErr w:type="spellStart"/>
      <w:r w:rsidRPr="00444088">
        <w:rPr>
          <w:rFonts w:ascii="Times New Roman" w:hAnsi="Times New Roman" w:cs="Times New Roman"/>
          <w:sz w:val="24"/>
          <w:szCs w:val="24"/>
        </w:rPr>
        <w:t>ajh</w:t>
      </w:r>
      <w:proofErr w:type="spellEnd"/>
    </w:p>
    <w:p w14:paraId="69ED607B" w14:textId="77777777" w:rsidR="008D4038" w:rsidRPr="00945938" w:rsidRDefault="008D4038" w:rsidP="00945938">
      <w:pPr>
        <w:spacing w:after="0" w:line="276" w:lineRule="auto"/>
        <w:rPr>
          <w:rFonts w:ascii="Times New Roman" w:hAnsi="Times New Roman" w:cs="Times New Roman"/>
          <w:sz w:val="24"/>
          <w:szCs w:val="24"/>
        </w:rPr>
      </w:pPr>
    </w:p>
    <w:sectPr w:rsidR="008D4038" w:rsidRPr="009459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088"/>
    <w:rsid w:val="00052B56"/>
    <w:rsid w:val="0022378C"/>
    <w:rsid w:val="002262F4"/>
    <w:rsid w:val="00357297"/>
    <w:rsid w:val="00444088"/>
    <w:rsid w:val="004A3952"/>
    <w:rsid w:val="006C4AC9"/>
    <w:rsid w:val="008D4038"/>
    <w:rsid w:val="008D47A0"/>
    <w:rsid w:val="00945938"/>
    <w:rsid w:val="009C6383"/>
    <w:rsid w:val="00BA7D4A"/>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0A918"/>
  <w15:chartTrackingRefBased/>
  <w15:docId w15:val="{68C09AF7-5BA9-4AEE-8CE8-E34868BBA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40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440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0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0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0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0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0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0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0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0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440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0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0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0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0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0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0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088"/>
    <w:rPr>
      <w:rFonts w:eastAsiaTheme="majorEastAsia" w:cstheme="majorBidi"/>
      <w:color w:val="272727" w:themeColor="text1" w:themeTint="D8"/>
    </w:rPr>
  </w:style>
  <w:style w:type="paragraph" w:styleId="Title">
    <w:name w:val="Title"/>
    <w:basedOn w:val="Normal"/>
    <w:next w:val="Normal"/>
    <w:link w:val="TitleChar"/>
    <w:uiPriority w:val="10"/>
    <w:qFormat/>
    <w:rsid w:val="004440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0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0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0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088"/>
    <w:pPr>
      <w:spacing w:before="160"/>
      <w:jc w:val="center"/>
    </w:pPr>
    <w:rPr>
      <w:i/>
      <w:iCs/>
      <w:color w:val="404040" w:themeColor="text1" w:themeTint="BF"/>
    </w:rPr>
  </w:style>
  <w:style w:type="character" w:customStyle="1" w:styleId="QuoteChar">
    <w:name w:val="Quote Char"/>
    <w:basedOn w:val="DefaultParagraphFont"/>
    <w:link w:val="Quote"/>
    <w:uiPriority w:val="29"/>
    <w:rsid w:val="00444088"/>
    <w:rPr>
      <w:i/>
      <w:iCs/>
      <w:color w:val="404040" w:themeColor="text1" w:themeTint="BF"/>
    </w:rPr>
  </w:style>
  <w:style w:type="paragraph" w:styleId="ListParagraph">
    <w:name w:val="List Paragraph"/>
    <w:basedOn w:val="Normal"/>
    <w:uiPriority w:val="34"/>
    <w:qFormat/>
    <w:rsid w:val="00444088"/>
    <w:pPr>
      <w:ind w:left="720"/>
      <w:contextualSpacing/>
    </w:pPr>
  </w:style>
  <w:style w:type="character" w:styleId="IntenseEmphasis">
    <w:name w:val="Intense Emphasis"/>
    <w:basedOn w:val="DefaultParagraphFont"/>
    <w:uiPriority w:val="21"/>
    <w:qFormat/>
    <w:rsid w:val="00444088"/>
    <w:rPr>
      <w:i/>
      <w:iCs/>
      <w:color w:val="0F4761" w:themeColor="accent1" w:themeShade="BF"/>
    </w:rPr>
  </w:style>
  <w:style w:type="paragraph" w:styleId="IntenseQuote">
    <w:name w:val="Intense Quote"/>
    <w:basedOn w:val="Normal"/>
    <w:next w:val="Normal"/>
    <w:link w:val="IntenseQuoteChar"/>
    <w:uiPriority w:val="30"/>
    <w:qFormat/>
    <w:rsid w:val="004440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088"/>
    <w:rPr>
      <w:i/>
      <w:iCs/>
      <w:color w:val="0F4761" w:themeColor="accent1" w:themeShade="BF"/>
    </w:rPr>
  </w:style>
  <w:style w:type="character" w:styleId="IntenseReference">
    <w:name w:val="Intense Reference"/>
    <w:basedOn w:val="DefaultParagraphFont"/>
    <w:uiPriority w:val="32"/>
    <w:qFormat/>
    <w:rsid w:val="00444088"/>
    <w:rPr>
      <w:b/>
      <w:bCs/>
      <w:smallCaps/>
      <w:color w:val="0F4761" w:themeColor="accent1" w:themeShade="BF"/>
      <w:spacing w:val="5"/>
    </w:rPr>
  </w:style>
  <w:style w:type="character" w:styleId="Hyperlink">
    <w:name w:val="Hyperlink"/>
    <w:basedOn w:val="DefaultParagraphFont"/>
    <w:uiPriority w:val="99"/>
    <w:unhideWhenUsed/>
    <w:rsid w:val="00444088"/>
    <w:rPr>
      <w:color w:val="467886" w:themeColor="hyperlink"/>
      <w:u w:val="single"/>
    </w:rPr>
  </w:style>
  <w:style w:type="character" w:styleId="UnresolvedMention">
    <w:name w:val="Unresolved Mention"/>
    <w:basedOn w:val="DefaultParagraphFont"/>
    <w:uiPriority w:val="99"/>
    <w:semiHidden/>
    <w:unhideWhenUsed/>
    <w:rsid w:val="004440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903283">
      <w:bodyDiv w:val="1"/>
      <w:marLeft w:val="0"/>
      <w:marRight w:val="0"/>
      <w:marTop w:val="0"/>
      <w:marBottom w:val="0"/>
      <w:divBdr>
        <w:top w:val="none" w:sz="0" w:space="0" w:color="auto"/>
        <w:left w:val="none" w:sz="0" w:space="0" w:color="auto"/>
        <w:bottom w:val="none" w:sz="0" w:space="0" w:color="auto"/>
        <w:right w:val="none" w:sz="0" w:space="0" w:color="auto"/>
      </w:divBdr>
    </w:div>
    <w:div w:id="981811897">
      <w:bodyDiv w:val="1"/>
      <w:marLeft w:val="0"/>
      <w:marRight w:val="0"/>
      <w:marTop w:val="0"/>
      <w:marBottom w:val="0"/>
      <w:divBdr>
        <w:top w:val="none" w:sz="0" w:space="0" w:color="auto"/>
        <w:left w:val="none" w:sz="0" w:space="0" w:color="auto"/>
        <w:bottom w:val="none" w:sz="0" w:space="0" w:color="auto"/>
        <w:right w:val="none" w:sz="0" w:space="0" w:color="auto"/>
      </w:divBdr>
      <w:divsChild>
        <w:div w:id="2033997820">
          <w:marLeft w:val="0"/>
          <w:marRight w:val="0"/>
          <w:marTop w:val="0"/>
          <w:marBottom w:val="0"/>
          <w:divBdr>
            <w:top w:val="none" w:sz="0" w:space="0" w:color="auto"/>
            <w:left w:val="none" w:sz="0" w:space="0" w:color="auto"/>
            <w:bottom w:val="none" w:sz="0" w:space="0" w:color="auto"/>
            <w:right w:val="none" w:sz="0" w:space="0" w:color="auto"/>
          </w:divBdr>
          <w:divsChild>
            <w:div w:id="1504279927">
              <w:marLeft w:val="0"/>
              <w:marRight w:val="0"/>
              <w:marTop w:val="0"/>
              <w:marBottom w:val="0"/>
              <w:divBdr>
                <w:top w:val="none" w:sz="0" w:space="0" w:color="auto"/>
                <w:left w:val="none" w:sz="0" w:space="0" w:color="auto"/>
                <w:bottom w:val="none" w:sz="0" w:space="0" w:color="auto"/>
                <w:right w:val="none" w:sz="0" w:space="0" w:color="auto"/>
              </w:divBdr>
            </w:div>
            <w:div w:id="2097746898">
              <w:marLeft w:val="0"/>
              <w:marRight w:val="0"/>
              <w:marTop w:val="0"/>
              <w:marBottom w:val="0"/>
              <w:divBdr>
                <w:top w:val="none" w:sz="0" w:space="0" w:color="auto"/>
                <w:left w:val="none" w:sz="0" w:space="0" w:color="auto"/>
                <w:bottom w:val="none" w:sz="0" w:space="0" w:color="auto"/>
                <w:right w:val="none" w:sz="0" w:space="0" w:color="auto"/>
              </w:divBdr>
            </w:div>
            <w:div w:id="1972704813">
              <w:marLeft w:val="0"/>
              <w:marRight w:val="0"/>
              <w:marTop w:val="0"/>
              <w:marBottom w:val="0"/>
              <w:divBdr>
                <w:top w:val="none" w:sz="0" w:space="0" w:color="auto"/>
                <w:left w:val="none" w:sz="0" w:space="0" w:color="auto"/>
                <w:bottom w:val="none" w:sz="0" w:space="0" w:color="auto"/>
                <w:right w:val="none" w:sz="0" w:space="0" w:color="auto"/>
              </w:divBdr>
            </w:div>
            <w:div w:id="1412004036">
              <w:marLeft w:val="0"/>
              <w:marRight w:val="0"/>
              <w:marTop w:val="0"/>
              <w:marBottom w:val="0"/>
              <w:divBdr>
                <w:top w:val="none" w:sz="0" w:space="0" w:color="auto"/>
                <w:left w:val="none" w:sz="0" w:space="0" w:color="auto"/>
                <w:bottom w:val="none" w:sz="0" w:space="0" w:color="auto"/>
                <w:right w:val="none" w:sz="0" w:space="0" w:color="auto"/>
              </w:divBdr>
            </w:div>
            <w:div w:id="683673637">
              <w:marLeft w:val="0"/>
              <w:marRight w:val="0"/>
              <w:marTop w:val="0"/>
              <w:marBottom w:val="0"/>
              <w:divBdr>
                <w:top w:val="none" w:sz="0" w:space="0" w:color="auto"/>
                <w:left w:val="none" w:sz="0" w:space="0" w:color="auto"/>
                <w:bottom w:val="none" w:sz="0" w:space="0" w:color="auto"/>
                <w:right w:val="none" w:sz="0" w:space="0" w:color="auto"/>
              </w:divBdr>
            </w:div>
          </w:divsChild>
        </w:div>
        <w:div w:id="1795059886">
          <w:marLeft w:val="0"/>
          <w:marRight w:val="0"/>
          <w:marTop w:val="0"/>
          <w:marBottom w:val="0"/>
          <w:divBdr>
            <w:top w:val="none" w:sz="0" w:space="0" w:color="auto"/>
            <w:left w:val="none" w:sz="0" w:space="0" w:color="auto"/>
            <w:bottom w:val="none" w:sz="0" w:space="0" w:color="auto"/>
            <w:right w:val="none" w:sz="0" w:space="0" w:color="auto"/>
          </w:divBdr>
          <w:divsChild>
            <w:div w:id="1925263315">
              <w:marLeft w:val="0"/>
              <w:marRight w:val="0"/>
              <w:marTop w:val="0"/>
              <w:marBottom w:val="0"/>
              <w:divBdr>
                <w:top w:val="none" w:sz="0" w:space="0" w:color="auto"/>
                <w:left w:val="none" w:sz="0" w:space="0" w:color="auto"/>
                <w:bottom w:val="none" w:sz="0" w:space="0" w:color="auto"/>
                <w:right w:val="none" w:sz="0" w:space="0" w:color="auto"/>
              </w:divBdr>
              <w:divsChild>
                <w:div w:id="818572661">
                  <w:marLeft w:val="0"/>
                  <w:marRight w:val="0"/>
                  <w:marTop w:val="0"/>
                  <w:marBottom w:val="0"/>
                  <w:divBdr>
                    <w:top w:val="none" w:sz="0" w:space="0" w:color="auto"/>
                    <w:left w:val="none" w:sz="0" w:space="0" w:color="auto"/>
                    <w:bottom w:val="none" w:sz="0" w:space="0" w:color="auto"/>
                    <w:right w:val="none" w:sz="0" w:space="0" w:color="auto"/>
                  </w:divBdr>
                  <w:divsChild>
                    <w:div w:id="226498496">
                      <w:marLeft w:val="0"/>
                      <w:marRight w:val="0"/>
                      <w:marTop w:val="0"/>
                      <w:marBottom w:val="0"/>
                      <w:divBdr>
                        <w:top w:val="single" w:sz="6" w:space="8" w:color="A99F9F"/>
                        <w:left w:val="single" w:sz="6" w:space="14" w:color="A99F9F"/>
                        <w:bottom w:val="single" w:sz="6" w:space="8" w:color="A99F9F"/>
                        <w:right w:val="single" w:sz="6" w:space="14" w:color="A99F9F"/>
                      </w:divBdr>
                    </w:div>
                  </w:divsChild>
                </w:div>
                <w:div w:id="605963408">
                  <w:marLeft w:val="0"/>
                  <w:marRight w:val="0"/>
                  <w:marTop w:val="0"/>
                  <w:marBottom w:val="0"/>
                  <w:divBdr>
                    <w:top w:val="none" w:sz="0" w:space="0" w:color="auto"/>
                    <w:left w:val="none" w:sz="0" w:space="0" w:color="auto"/>
                    <w:bottom w:val="none" w:sz="0" w:space="0" w:color="auto"/>
                    <w:right w:val="none" w:sz="0" w:space="0" w:color="auto"/>
                  </w:divBdr>
                  <w:divsChild>
                    <w:div w:id="648443179">
                      <w:marLeft w:val="0"/>
                      <w:marRight w:val="0"/>
                      <w:marTop w:val="0"/>
                      <w:marBottom w:val="0"/>
                      <w:divBdr>
                        <w:top w:val="none" w:sz="0" w:space="0" w:color="auto"/>
                        <w:left w:val="none" w:sz="0" w:space="0" w:color="auto"/>
                        <w:bottom w:val="none" w:sz="0" w:space="0" w:color="auto"/>
                        <w:right w:val="none" w:sz="0" w:space="0" w:color="auto"/>
                      </w:divBdr>
                      <w:divsChild>
                        <w:div w:id="142641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271284">
              <w:marLeft w:val="0"/>
              <w:marRight w:val="0"/>
              <w:marTop w:val="0"/>
              <w:marBottom w:val="0"/>
              <w:divBdr>
                <w:top w:val="none" w:sz="0" w:space="0" w:color="auto"/>
                <w:left w:val="none" w:sz="0" w:space="0" w:color="auto"/>
                <w:bottom w:val="none" w:sz="0" w:space="0" w:color="auto"/>
                <w:right w:val="none" w:sz="0" w:space="0" w:color="auto"/>
              </w:divBdr>
            </w:div>
            <w:div w:id="1134568674">
              <w:marLeft w:val="0"/>
              <w:marRight w:val="0"/>
              <w:marTop w:val="0"/>
              <w:marBottom w:val="0"/>
              <w:divBdr>
                <w:top w:val="none" w:sz="0" w:space="0" w:color="auto"/>
                <w:left w:val="none" w:sz="0" w:space="0" w:color="auto"/>
                <w:bottom w:val="none" w:sz="0" w:space="0" w:color="auto"/>
                <w:right w:val="none" w:sz="0" w:space="0" w:color="auto"/>
              </w:divBdr>
            </w:div>
            <w:div w:id="143474178">
              <w:marLeft w:val="0"/>
              <w:marRight w:val="0"/>
              <w:marTop w:val="0"/>
              <w:marBottom w:val="0"/>
              <w:divBdr>
                <w:top w:val="none" w:sz="0" w:space="0" w:color="auto"/>
                <w:left w:val="none" w:sz="0" w:space="0" w:color="auto"/>
                <w:bottom w:val="none" w:sz="0" w:space="0" w:color="auto"/>
                <w:right w:val="none" w:sz="0" w:space="0" w:color="auto"/>
              </w:divBdr>
            </w:div>
          </w:divsChild>
        </w:div>
        <w:div w:id="678848741">
          <w:marLeft w:val="0"/>
          <w:marRight w:val="0"/>
          <w:marTop w:val="0"/>
          <w:marBottom w:val="0"/>
          <w:divBdr>
            <w:top w:val="none" w:sz="0" w:space="0" w:color="auto"/>
            <w:left w:val="none" w:sz="0" w:space="0" w:color="auto"/>
            <w:bottom w:val="none" w:sz="0" w:space="0" w:color="auto"/>
            <w:right w:val="none" w:sz="0" w:space="0" w:color="auto"/>
          </w:divBdr>
          <w:divsChild>
            <w:div w:id="602305839">
              <w:marLeft w:val="0"/>
              <w:marRight w:val="0"/>
              <w:marTop w:val="0"/>
              <w:marBottom w:val="0"/>
              <w:divBdr>
                <w:top w:val="none" w:sz="0" w:space="0" w:color="auto"/>
                <w:left w:val="none" w:sz="0" w:space="0" w:color="auto"/>
                <w:bottom w:val="none" w:sz="0" w:space="0" w:color="auto"/>
                <w:right w:val="none" w:sz="0" w:space="0" w:color="auto"/>
              </w:divBdr>
              <w:divsChild>
                <w:div w:id="652492171">
                  <w:marLeft w:val="0"/>
                  <w:marRight w:val="0"/>
                  <w:marTop w:val="0"/>
                  <w:marBottom w:val="0"/>
                  <w:divBdr>
                    <w:top w:val="none" w:sz="0" w:space="0" w:color="auto"/>
                    <w:left w:val="none" w:sz="0" w:space="0" w:color="auto"/>
                    <w:bottom w:val="none" w:sz="0" w:space="0" w:color="auto"/>
                    <w:right w:val="none" w:sz="0" w:space="0" w:color="auto"/>
                  </w:divBdr>
                  <w:divsChild>
                    <w:div w:id="186875657">
                      <w:marLeft w:val="0"/>
                      <w:marRight w:val="0"/>
                      <w:marTop w:val="0"/>
                      <w:marBottom w:val="0"/>
                      <w:divBdr>
                        <w:top w:val="none" w:sz="0" w:space="0" w:color="auto"/>
                        <w:left w:val="none" w:sz="0" w:space="0" w:color="auto"/>
                        <w:bottom w:val="none" w:sz="0" w:space="0" w:color="auto"/>
                        <w:right w:val="none" w:sz="0" w:space="0" w:color="auto"/>
                      </w:divBdr>
                      <w:divsChild>
                        <w:div w:id="2082555059">
                          <w:marLeft w:val="0"/>
                          <w:marRight w:val="0"/>
                          <w:marTop w:val="0"/>
                          <w:marBottom w:val="0"/>
                          <w:divBdr>
                            <w:top w:val="none" w:sz="0" w:space="0" w:color="auto"/>
                            <w:left w:val="none" w:sz="0" w:space="0" w:color="auto"/>
                            <w:bottom w:val="none" w:sz="0" w:space="0" w:color="auto"/>
                            <w:right w:val="none" w:sz="0" w:space="0" w:color="auto"/>
                          </w:divBdr>
                          <w:divsChild>
                            <w:div w:id="892035849">
                              <w:marLeft w:val="0"/>
                              <w:marRight w:val="0"/>
                              <w:marTop w:val="0"/>
                              <w:marBottom w:val="0"/>
                              <w:divBdr>
                                <w:top w:val="none" w:sz="0" w:space="0" w:color="auto"/>
                                <w:left w:val="none" w:sz="0" w:space="0" w:color="auto"/>
                                <w:bottom w:val="none" w:sz="0" w:space="0" w:color="auto"/>
                                <w:right w:val="none" w:sz="0" w:space="0" w:color="auto"/>
                              </w:divBdr>
                              <w:divsChild>
                                <w:div w:id="172113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0252">
                          <w:marLeft w:val="0"/>
                          <w:marRight w:val="0"/>
                          <w:marTop w:val="0"/>
                          <w:marBottom w:val="0"/>
                          <w:divBdr>
                            <w:top w:val="none" w:sz="0" w:space="0" w:color="auto"/>
                            <w:left w:val="none" w:sz="0" w:space="0" w:color="auto"/>
                            <w:bottom w:val="none" w:sz="0" w:space="0" w:color="auto"/>
                            <w:right w:val="none" w:sz="0" w:space="0" w:color="auto"/>
                          </w:divBdr>
                          <w:divsChild>
                            <w:div w:id="1427340474">
                              <w:marLeft w:val="0"/>
                              <w:marRight w:val="0"/>
                              <w:marTop w:val="0"/>
                              <w:marBottom w:val="0"/>
                              <w:divBdr>
                                <w:top w:val="none" w:sz="0" w:space="0" w:color="auto"/>
                                <w:left w:val="none" w:sz="0" w:space="0" w:color="auto"/>
                                <w:bottom w:val="none" w:sz="0" w:space="0" w:color="auto"/>
                                <w:right w:val="none" w:sz="0" w:space="0" w:color="auto"/>
                              </w:divBdr>
                              <w:divsChild>
                                <w:div w:id="1767964787">
                                  <w:marLeft w:val="0"/>
                                  <w:marRight w:val="0"/>
                                  <w:marTop w:val="0"/>
                                  <w:marBottom w:val="0"/>
                                  <w:divBdr>
                                    <w:top w:val="none" w:sz="0" w:space="0" w:color="auto"/>
                                    <w:left w:val="none" w:sz="0" w:space="0" w:color="auto"/>
                                    <w:bottom w:val="none" w:sz="0" w:space="0" w:color="auto"/>
                                    <w:right w:val="none" w:sz="0" w:space="0" w:color="auto"/>
                                  </w:divBdr>
                                  <w:divsChild>
                                    <w:div w:id="596522374">
                                      <w:marLeft w:val="0"/>
                                      <w:marRight w:val="0"/>
                                      <w:marTop w:val="0"/>
                                      <w:marBottom w:val="0"/>
                                      <w:divBdr>
                                        <w:top w:val="none" w:sz="0" w:space="0" w:color="auto"/>
                                        <w:left w:val="none" w:sz="0" w:space="0" w:color="auto"/>
                                        <w:bottom w:val="none" w:sz="0" w:space="0" w:color="auto"/>
                                        <w:right w:val="none" w:sz="0" w:space="0" w:color="auto"/>
                                      </w:divBdr>
                                      <w:divsChild>
                                        <w:div w:id="61401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7233900">
      <w:bodyDiv w:val="1"/>
      <w:marLeft w:val="0"/>
      <w:marRight w:val="0"/>
      <w:marTop w:val="0"/>
      <w:marBottom w:val="0"/>
      <w:divBdr>
        <w:top w:val="none" w:sz="0" w:space="0" w:color="auto"/>
        <w:left w:val="none" w:sz="0" w:space="0" w:color="auto"/>
        <w:bottom w:val="none" w:sz="0" w:space="0" w:color="auto"/>
        <w:right w:val="none" w:sz="0" w:space="0" w:color="auto"/>
      </w:divBdr>
      <w:divsChild>
        <w:div w:id="1382903146">
          <w:marLeft w:val="0"/>
          <w:marRight w:val="0"/>
          <w:marTop w:val="0"/>
          <w:marBottom w:val="0"/>
          <w:divBdr>
            <w:top w:val="none" w:sz="0" w:space="0" w:color="auto"/>
            <w:left w:val="none" w:sz="0" w:space="0" w:color="auto"/>
            <w:bottom w:val="none" w:sz="0" w:space="0" w:color="auto"/>
            <w:right w:val="none" w:sz="0" w:space="0" w:color="auto"/>
          </w:divBdr>
          <w:divsChild>
            <w:div w:id="2011523565">
              <w:marLeft w:val="0"/>
              <w:marRight w:val="0"/>
              <w:marTop w:val="0"/>
              <w:marBottom w:val="0"/>
              <w:divBdr>
                <w:top w:val="none" w:sz="0" w:space="0" w:color="auto"/>
                <w:left w:val="none" w:sz="0" w:space="0" w:color="auto"/>
                <w:bottom w:val="none" w:sz="0" w:space="0" w:color="auto"/>
                <w:right w:val="none" w:sz="0" w:space="0" w:color="auto"/>
              </w:divBdr>
            </w:div>
            <w:div w:id="1118642706">
              <w:marLeft w:val="0"/>
              <w:marRight w:val="0"/>
              <w:marTop w:val="0"/>
              <w:marBottom w:val="0"/>
              <w:divBdr>
                <w:top w:val="none" w:sz="0" w:space="0" w:color="auto"/>
                <w:left w:val="none" w:sz="0" w:space="0" w:color="auto"/>
                <w:bottom w:val="none" w:sz="0" w:space="0" w:color="auto"/>
                <w:right w:val="none" w:sz="0" w:space="0" w:color="auto"/>
              </w:divBdr>
            </w:div>
            <w:div w:id="255985295">
              <w:marLeft w:val="0"/>
              <w:marRight w:val="0"/>
              <w:marTop w:val="0"/>
              <w:marBottom w:val="0"/>
              <w:divBdr>
                <w:top w:val="none" w:sz="0" w:space="0" w:color="auto"/>
                <w:left w:val="none" w:sz="0" w:space="0" w:color="auto"/>
                <w:bottom w:val="none" w:sz="0" w:space="0" w:color="auto"/>
                <w:right w:val="none" w:sz="0" w:space="0" w:color="auto"/>
              </w:divBdr>
            </w:div>
            <w:div w:id="384724398">
              <w:marLeft w:val="0"/>
              <w:marRight w:val="0"/>
              <w:marTop w:val="0"/>
              <w:marBottom w:val="0"/>
              <w:divBdr>
                <w:top w:val="none" w:sz="0" w:space="0" w:color="auto"/>
                <w:left w:val="none" w:sz="0" w:space="0" w:color="auto"/>
                <w:bottom w:val="none" w:sz="0" w:space="0" w:color="auto"/>
                <w:right w:val="none" w:sz="0" w:space="0" w:color="auto"/>
              </w:divBdr>
            </w:div>
            <w:div w:id="1283878285">
              <w:marLeft w:val="0"/>
              <w:marRight w:val="0"/>
              <w:marTop w:val="0"/>
              <w:marBottom w:val="0"/>
              <w:divBdr>
                <w:top w:val="none" w:sz="0" w:space="0" w:color="auto"/>
                <w:left w:val="none" w:sz="0" w:space="0" w:color="auto"/>
                <w:bottom w:val="none" w:sz="0" w:space="0" w:color="auto"/>
                <w:right w:val="none" w:sz="0" w:space="0" w:color="auto"/>
              </w:divBdr>
            </w:div>
          </w:divsChild>
        </w:div>
        <w:div w:id="350575151">
          <w:marLeft w:val="0"/>
          <w:marRight w:val="0"/>
          <w:marTop w:val="0"/>
          <w:marBottom w:val="0"/>
          <w:divBdr>
            <w:top w:val="none" w:sz="0" w:space="0" w:color="auto"/>
            <w:left w:val="none" w:sz="0" w:space="0" w:color="auto"/>
            <w:bottom w:val="none" w:sz="0" w:space="0" w:color="auto"/>
            <w:right w:val="none" w:sz="0" w:space="0" w:color="auto"/>
          </w:divBdr>
          <w:divsChild>
            <w:div w:id="1180435810">
              <w:marLeft w:val="0"/>
              <w:marRight w:val="0"/>
              <w:marTop w:val="0"/>
              <w:marBottom w:val="0"/>
              <w:divBdr>
                <w:top w:val="none" w:sz="0" w:space="0" w:color="auto"/>
                <w:left w:val="none" w:sz="0" w:space="0" w:color="auto"/>
                <w:bottom w:val="none" w:sz="0" w:space="0" w:color="auto"/>
                <w:right w:val="none" w:sz="0" w:space="0" w:color="auto"/>
              </w:divBdr>
              <w:divsChild>
                <w:div w:id="1282346111">
                  <w:marLeft w:val="0"/>
                  <w:marRight w:val="0"/>
                  <w:marTop w:val="0"/>
                  <w:marBottom w:val="0"/>
                  <w:divBdr>
                    <w:top w:val="none" w:sz="0" w:space="0" w:color="auto"/>
                    <w:left w:val="none" w:sz="0" w:space="0" w:color="auto"/>
                    <w:bottom w:val="none" w:sz="0" w:space="0" w:color="auto"/>
                    <w:right w:val="none" w:sz="0" w:space="0" w:color="auto"/>
                  </w:divBdr>
                  <w:divsChild>
                    <w:div w:id="670912102">
                      <w:marLeft w:val="0"/>
                      <w:marRight w:val="0"/>
                      <w:marTop w:val="0"/>
                      <w:marBottom w:val="0"/>
                      <w:divBdr>
                        <w:top w:val="single" w:sz="6" w:space="8" w:color="A99F9F"/>
                        <w:left w:val="single" w:sz="6" w:space="14" w:color="A99F9F"/>
                        <w:bottom w:val="single" w:sz="6" w:space="8" w:color="A99F9F"/>
                        <w:right w:val="single" w:sz="6" w:space="14" w:color="A99F9F"/>
                      </w:divBdr>
                    </w:div>
                  </w:divsChild>
                </w:div>
                <w:div w:id="1294630906">
                  <w:marLeft w:val="0"/>
                  <w:marRight w:val="0"/>
                  <w:marTop w:val="0"/>
                  <w:marBottom w:val="0"/>
                  <w:divBdr>
                    <w:top w:val="none" w:sz="0" w:space="0" w:color="auto"/>
                    <w:left w:val="none" w:sz="0" w:space="0" w:color="auto"/>
                    <w:bottom w:val="none" w:sz="0" w:space="0" w:color="auto"/>
                    <w:right w:val="none" w:sz="0" w:space="0" w:color="auto"/>
                  </w:divBdr>
                  <w:divsChild>
                    <w:div w:id="947154673">
                      <w:marLeft w:val="0"/>
                      <w:marRight w:val="0"/>
                      <w:marTop w:val="0"/>
                      <w:marBottom w:val="0"/>
                      <w:divBdr>
                        <w:top w:val="none" w:sz="0" w:space="0" w:color="auto"/>
                        <w:left w:val="none" w:sz="0" w:space="0" w:color="auto"/>
                        <w:bottom w:val="none" w:sz="0" w:space="0" w:color="auto"/>
                        <w:right w:val="none" w:sz="0" w:space="0" w:color="auto"/>
                      </w:divBdr>
                      <w:divsChild>
                        <w:div w:id="3003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585858">
              <w:marLeft w:val="0"/>
              <w:marRight w:val="0"/>
              <w:marTop w:val="0"/>
              <w:marBottom w:val="0"/>
              <w:divBdr>
                <w:top w:val="none" w:sz="0" w:space="0" w:color="auto"/>
                <w:left w:val="none" w:sz="0" w:space="0" w:color="auto"/>
                <w:bottom w:val="none" w:sz="0" w:space="0" w:color="auto"/>
                <w:right w:val="none" w:sz="0" w:space="0" w:color="auto"/>
              </w:divBdr>
            </w:div>
            <w:div w:id="293828172">
              <w:marLeft w:val="0"/>
              <w:marRight w:val="0"/>
              <w:marTop w:val="0"/>
              <w:marBottom w:val="0"/>
              <w:divBdr>
                <w:top w:val="none" w:sz="0" w:space="0" w:color="auto"/>
                <w:left w:val="none" w:sz="0" w:space="0" w:color="auto"/>
                <w:bottom w:val="none" w:sz="0" w:space="0" w:color="auto"/>
                <w:right w:val="none" w:sz="0" w:space="0" w:color="auto"/>
              </w:divBdr>
            </w:div>
            <w:div w:id="1813986619">
              <w:marLeft w:val="0"/>
              <w:marRight w:val="0"/>
              <w:marTop w:val="0"/>
              <w:marBottom w:val="0"/>
              <w:divBdr>
                <w:top w:val="none" w:sz="0" w:space="0" w:color="auto"/>
                <w:left w:val="none" w:sz="0" w:space="0" w:color="auto"/>
                <w:bottom w:val="none" w:sz="0" w:space="0" w:color="auto"/>
                <w:right w:val="none" w:sz="0" w:space="0" w:color="auto"/>
              </w:divBdr>
            </w:div>
          </w:divsChild>
        </w:div>
        <w:div w:id="456725941">
          <w:marLeft w:val="0"/>
          <w:marRight w:val="0"/>
          <w:marTop w:val="0"/>
          <w:marBottom w:val="0"/>
          <w:divBdr>
            <w:top w:val="none" w:sz="0" w:space="0" w:color="auto"/>
            <w:left w:val="none" w:sz="0" w:space="0" w:color="auto"/>
            <w:bottom w:val="none" w:sz="0" w:space="0" w:color="auto"/>
            <w:right w:val="none" w:sz="0" w:space="0" w:color="auto"/>
          </w:divBdr>
          <w:divsChild>
            <w:div w:id="1527479205">
              <w:marLeft w:val="0"/>
              <w:marRight w:val="0"/>
              <w:marTop w:val="0"/>
              <w:marBottom w:val="0"/>
              <w:divBdr>
                <w:top w:val="none" w:sz="0" w:space="0" w:color="auto"/>
                <w:left w:val="none" w:sz="0" w:space="0" w:color="auto"/>
                <w:bottom w:val="none" w:sz="0" w:space="0" w:color="auto"/>
                <w:right w:val="none" w:sz="0" w:space="0" w:color="auto"/>
              </w:divBdr>
              <w:divsChild>
                <w:div w:id="350375470">
                  <w:marLeft w:val="0"/>
                  <w:marRight w:val="0"/>
                  <w:marTop w:val="0"/>
                  <w:marBottom w:val="0"/>
                  <w:divBdr>
                    <w:top w:val="none" w:sz="0" w:space="0" w:color="auto"/>
                    <w:left w:val="none" w:sz="0" w:space="0" w:color="auto"/>
                    <w:bottom w:val="none" w:sz="0" w:space="0" w:color="auto"/>
                    <w:right w:val="none" w:sz="0" w:space="0" w:color="auto"/>
                  </w:divBdr>
                  <w:divsChild>
                    <w:div w:id="744495350">
                      <w:marLeft w:val="0"/>
                      <w:marRight w:val="0"/>
                      <w:marTop w:val="0"/>
                      <w:marBottom w:val="0"/>
                      <w:divBdr>
                        <w:top w:val="none" w:sz="0" w:space="0" w:color="auto"/>
                        <w:left w:val="none" w:sz="0" w:space="0" w:color="auto"/>
                        <w:bottom w:val="none" w:sz="0" w:space="0" w:color="auto"/>
                        <w:right w:val="none" w:sz="0" w:space="0" w:color="auto"/>
                      </w:divBdr>
                      <w:divsChild>
                        <w:div w:id="1068725873">
                          <w:marLeft w:val="0"/>
                          <w:marRight w:val="0"/>
                          <w:marTop w:val="0"/>
                          <w:marBottom w:val="0"/>
                          <w:divBdr>
                            <w:top w:val="none" w:sz="0" w:space="0" w:color="auto"/>
                            <w:left w:val="none" w:sz="0" w:space="0" w:color="auto"/>
                            <w:bottom w:val="none" w:sz="0" w:space="0" w:color="auto"/>
                            <w:right w:val="none" w:sz="0" w:space="0" w:color="auto"/>
                          </w:divBdr>
                          <w:divsChild>
                            <w:div w:id="654182769">
                              <w:marLeft w:val="0"/>
                              <w:marRight w:val="0"/>
                              <w:marTop w:val="0"/>
                              <w:marBottom w:val="0"/>
                              <w:divBdr>
                                <w:top w:val="none" w:sz="0" w:space="0" w:color="auto"/>
                                <w:left w:val="none" w:sz="0" w:space="0" w:color="auto"/>
                                <w:bottom w:val="none" w:sz="0" w:space="0" w:color="auto"/>
                                <w:right w:val="none" w:sz="0" w:space="0" w:color="auto"/>
                              </w:divBdr>
                              <w:divsChild>
                                <w:div w:id="178731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94071">
                          <w:marLeft w:val="0"/>
                          <w:marRight w:val="0"/>
                          <w:marTop w:val="0"/>
                          <w:marBottom w:val="0"/>
                          <w:divBdr>
                            <w:top w:val="none" w:sz="0" w:space="0" w:color="auto"/>
                            <w:left w:val="none" w:sz="0" w:space="0" w:color="auto"/>
                            <w:bottom w:val="none" w:sz="0" w:space="0" w:color="auto"/>
                            <w:right w:val="none" w:sz="0" w:space="0" w:color="auto"/>
                          </w:divBdr>
                          <w:divsChild>
                            <w:div w:id="1696156418">
                              <w:marLeft w:val="0"/>
                              <w:marRight w:val="0"/>
                              <w:marTop w:val="0"/>
                              <w:marBottom w:val="0"/>
                              <w:divBdr>
                                <w:top w:val="none" w:sz="0" w:space="0" w:color="auto"/>
                                <w:left w:val="none" w:sz="0" w:space="0" w:color="auto"/>
                                <w:bottom w:val="none" w:sz="0" w:space="0" w:color="auto"/>
                                <w:right w:val="none" w:sz="0" w:space="0" w:color="auto"/>
                              </w:divBdr>
                              <w:divsChild>
                                <w:div w:id="1859193422">
                                  <w:marLeft w:val="0"/>
                                  <w:marRight w:val="0"/>
                                  <w:marTop w:val="0"/>
                                  <w:marBottom w:val="0"/>
                                  <w:divBdr>
                                    <w:top w:val="none" w:sz="0" w:space="0" w:color="auto"/>
                                    <w:left w:val="none" w:sz="0" w:space="0" w:color="auto"/>
                                    <w:bottom w:val="none" w:sz="0" w:space="0" w:color="auto"/>
                                    <w:right w:val="none" w:sz="0" w:space="0" w:color="auto"/>
                                  </w:divBdr>
                                  <w:divsChild>
                                    <w:div w:id="542400638">
                                      <w:marLeft w:val="0"/>
                                      <w:marRight w:val="0"/>
                                      <w:marTop w:val="0"/>
                                      <w:marBottom w:val="0"/>
                                      <w:divBdr>
                                        <w:top w:val="none" w:sz="0" w:space="0" w:color="auto"/>
                                        <w:left w:val="none" w:sz="0" w:space="0" w:color="auto"/>
                                        <w:bottom w:val="none" w:sz="0" w:space="0" w:color="auto"/>
                                        <w:right w:val="none" w:sz="0" w:space="0" w:color="auto"/>
                                      </w:divBdr>
                                      <w:divsChild>
                                        <w:div w:id="10185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5522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vlex.com/search?aplica_articulo=&amp;aplica_ley=681532801&amp;buscable_id=168&amp;buscable_type=Coleccion&amp;content_type=2&amp;filters_order=aplica_ley&amp;jurisdiction=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587</TotalTime>
  <Pages>5</Pages>
  <Words>2110</Words>
  <Characters>12032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3</cp:revision>
  <dcterms:created xsi:type="dcterms:W3CDTF">2024-10-17T18:56:00Z</dcterms:created>
  <dcterms:modified xsi:type="dcterms:W3CDTF">2025-01-31T21:25:00Z</dcterms:modified>
</cp:coreProperties>
</file>